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Patrimonio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Patrimonio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Vendita beni patrimonio disponibile mediante asta pubblica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La vendita dei beni immobili patrimoniali disponibili, anche in deroga alle norme legislative sulle alienazioni del patrimonio alienabile dello Stato (L. 24.12.1908 n. 783 e s.m.i. e Regolamento approvato con R.D. 17.6.1909 n. 454), nonche' sulla contabilita' generale degli enti locali precedenti, deve essere effettuata nel rispetto dei principi generali dell'ordinamento giuridico contabile e l'adozione di criteri di trasparenza ed adeguate forme di pubblicita' per acquisire e valutare concorrenti proposte di acquisto.</w:t>
            </w:r>
          </w:p>
          <w:p w:rsidR="006B6260" w:rsidRDefault="003D2BDB">
            <w:pPr>
              <w:jc w:val="both"/>
            </w:pPr>
            <w:r>
              <w:rPr>
                <w:rFonts w:ascii="Arial" w:hAnsi="Arial"/>
              </w:rPr>
              <w:t>Le entrate derivanti dalla vendita dei beni hanno destinazione vincolata in base a specifici provvedimenti adottati dall'organo di indirizzo politico-amministrativo, nel rispetto delle norme di contabilita' pubblica vigenti.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Patrimonio IndirizzoPiazza Signorelli n.1</w:t>
            </w:r>
          </w:p>
          <w:p w:rsidR="006B6260" w:rsidRDefault="003D2BDB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6B6260" w:rsidRPr="003D2BDB" w:rsidRDefault="003D2BDB">
            <w:pPr>
              <w:jc w:val="both"/>
              <w:rPr>
                <w:lang w:val="en-US"/>
              </w:rPr>
            </w:pPr>
            <w:r w:rsidRPr="003D2BDB">
              <w:rPr>
                <w:rFonts w:ascii="Arial" w:hAnsi="Arial"/>
                <w:lang w:val="en-US"/>
              </w:rPr>
              <w:t>Fax0384.253829</w:t>
            </w:r>
          </w:p>
          <w:p w:rsidR="006B6260" w:rsidRPr="003D2BDB" w:rsidRDefault="003D2BDB">
            <w:pPr>
              <w:jc w:val="both"/>
              <w:rPr>
                <w:lang w:val="en-US"/>
              </w:rPr>
            </w:pPr>
            <w:proofErr w:type="spellStart"/>
            <w:r w:rsidRPr="003D2BDB">
              <w:rPr>
                <w:rFonts w:ascii="Arial" w:hAnsi="Arial"/>
                <w:lang w:val="en-US"/>
              </w:rPr>
              <w:t>EMail</w:t>
            </w:r>
            <w:proofErr w:type="spellEnd"/>
            <w:r w:rsidRPr="003D2BDB">
              <w:rPr>
                <w:rFonts w:ascii="Arial" w:hAnsi="Arial"/>
                <w:lang w:val="en-US"/>
              </w:rPr>
              <w:t>: tecnico@comune.parona.pv.it</w:t>
            </w:r>
          </w:p>
          <w:p w:rsidR="006B6260" w:rsidRDefault="003D2BDB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6B6260" w:rsidRDefault="003D2BDB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6B6260" w:rsidRDefault="003D2BDB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6B6260" w:rsidRDefault="003D2BDB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3D2BDB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6B6260" w:rsidRDefault="003D2BDB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6B6260" w:rsidRDefault="003D2BDB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6B6260" w:rsidRDefault="003D2BDB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6B6260" w:rsidRDefault="003D2BDB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6B6260" w:rsidRDefault="003D2BDB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</w:t>
            </w:r>
            <w:r w:rsidRPr="007137E0">
              <w:rPr>
                <w:rFonts w:ascii="Arial" w:hAnsi="Arial"/>
              </w:rPr>
              <w:lastRenderedPageBreak/>
              <w:t>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Termine disciplinato dalla lex di gara adottata dall'amministrazione.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3D2BDB" w:rsidP="003D2BD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2BDB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B6260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73EF3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1BDCC9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2026-06-14T20:54:00Z</dcterms:modified>
</cp:coreProperties>
</file>